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480"/>
        <w:jc w:val="center"/>
      </w:pPr>
      <w:r>
        <w:rPr>
          <w:rFonts w:ascii="Georgia" w:cs="Georgia" w:eastAsia="Georgia" w:hAnsi="Georgia"/>
          <w:b/>
          <w:bCs/>
          <w:color w:val="0A0A2A"/>
          <w:sz w:val="36"/>
          <w:szCs w:val="36"/>
        </w:rPr>
        <w:t xml:space="preserve">Empirical Investigation of Gravitational Wave Encoding in Quantum Circuit Geometry</w:t>
      </w:r>
    </w:p>
    <w:p>
      <w:pPr>
        <w:spacing w:after="60" w:before="80"/>
        <w:jc w:val="center"/>
      </w:pPr>
      <w:r>
        <w:rPr>
          <w:rFonts w:ascii="Georgia" w:cs="Georgia" w:eastAsia="Georgia" w:hAnsi="Georgia"/>
          <w:i/>
          <w:iCs/>
          <w:color w:val="1A6B9A"/>
          <w:sz w:val="24"/>
          <w:szCs w:val="24"/>
        </w:rPr>
        <w:t xml:space="preserve">Fine-Structure Constant Scaling, Entropy Curves, Confirmed Prediction, and the O’Reilly Effect</w:t>
      </w:r>
    </w:p>
    <w:p>
      <w:pPr>
        <w:spacing w:after="60" w:before="120"/>
        <w:jc w:val="center"/>
      </w:pPr>
      <w:r>
        <w:rPr>
          <w:rFonts w:ascii="Georgia" w:cs="Georgia" w:eastAsia="Georgia" w:hAnsi="Georgia"/>
          <w:b/>
          <w:bCs/>
          <w:sz w:val="22"/>
          <w:szCs w:val="22"/>
        </w:rPr>
        <w:t xml:space="preserve">Colin O’Reilly</w:t>
      </w:r>
    </w:p>
    <w:p>
      <w:pPr>
        <w:spacing w:after="40" w:before="40"/>
        <w:jc w:val="center"/>
      </w:pPr>
      <w:r>
        <w:rPr>
          <w:rFonts w:ascii="Georgia" w:cs="Georgia" w:eastAsia="Georgia" w:hAnsi="Georgia"/>
          <w:i/>
          <w:iCs/>
          <w:color w:val="666666"/>
          <w:sz w:val="20"/>
          <w:szCs w:val="20"/>
        </w:rPr>
        <w:t xml:space="preserve">AI Collaborator: Google Gemini</w:t>
      </w:r>
    </w:p>
    <w:p>
      <w:pPr>
        <w:spacing w:after="40" w:before="40"/>
        <w:jc w:val="center"/>
      </w:pPr>
      <w:r>
        <w:rPr>
          <w:rFonts w:ascii="Georgia" w:cs="Georgia" w:eastAsia="Georgia" w:hAnsi="Georgia"/>
          <w:color w:val="666666"/>
          <w:sz w:val="20"/>
          <w:szCs w:val="20"/>
        </w:rPr>
        <w:t xml:space="preserve">Independent Research | Portland, OR | June 2026</w:t>
      </w:r>
    </w:p>
    <w:p>
      <w:pPr>
        <w:spacing w:after="240" w:before="40"/>
        <w:jc w:val="center"/>
      </w:pPr>
      <w:r>
        <w:rPr>
          <w:rFonts w:ascii="Georgia" w:cs="Georgia" w:eastAsia="Georgia" w:hAnsi="Georgia"/>
          <w:color w:val="888888"/>
          <w:sz w:val="20"/>
          <w:szCs w:val="20"/>
        </w:rPr>
        <w:t xml:space="preserve">Executed on IBM Quantum Hardware: ibm_marrakesh</w:t>
      </w:r>
    </w:p>
    <w:p>
      <w:pPr>
        <w:pStyle w:val="Heading1"/>
        <w:pBdr>
          <w:bottom w:val="single" w:color="1A6B9A" w:sz="4" w:space="4"/>
        </w:pBdr>
        <w:spacing w:after="120" w:before="360"/>
      </w:pPr>
      <w:r>
        <w:rPr>
          <w:rFonts w:ascii="Georgia" w:cs="Georgia" w:eastAsia="Georgia" w:hAnsi="Georgia"/>
          <w:b/>
          <w:bCs/>
          <w:color w:val="0A0A2A"/>
          <w:sz w:val="28"/>
          <w:szCs w:val="28"/>
        </w:rPr>
        <w:t xml:space="preserve">Abstract</w:t>
      </w:r>
    </w:p>
    <w:p>
      <w:pPr>
        <w:spacing w:after="80" w:before="80" w:line="320"/>
      </w:pPr>
      <w:r>
        <w:rPr>
          <w:rFonts w:ascii="Georgia" w:cs="Georgia" w:eastAsia="Georgia" w:hAnsi="Georgia"/>
          <w:sz w:val="22"/>
          <w:szCs w:val="22"/>
        </w:rPr>
        <w:t xml:space="preserve">This experiment connects cosmic gravitational events with quantum computing by mapping LIGO strain data from GW150914 onto quantum gate rotation angles, executed on IBM Quantum hardware (ibm_marrakesh). Three encoding conditions are tested: a baseline (Trial A, θ = π/4), fine-structure constant scaling (Trial B, θ = π/4 · α), and inverted α scaling (Trial C, θ = π/4 / α mod 2π). An 8-point entropy sweep across θ ∈ [0, 2π] reveals a structured probability landscape with entropy minima at θ ≈ 1.795 rad and θ ≈ 4.488 rad. Critically, the sweep predicted that Trial C at θ = 0.8137 rad would produce a '101'-dominated distribution. This prediction was confirmed: Trial C returned '101' with 582/1024 shots (56.8%), the highest single-state probability observed in this experimental series. Trial B produced near-maximum entropy (uniform distribution), while Trial A showed structured odd-parity clustering. The inverted α condition collapses over half of all quantum probability mass onto a single state, constituting a non-trivial, falsifiable, and confirmed result in quantum-gravity geometry research.</w:t>
      </w:r>
    </w:p>
    <w:p>
      <w:pPr>
        <w:spacing w:after="120" w:before="120"/>
      </w:pPr>
      <w:r>
        <w:t xml:space="preserve"/>
      </w:r>
    </w:p>
    <w:p>
      <w:pPr>
        <w:pStyle w:val="Heading1"/>
        <w:pBdr>
          <w:bottom w:val="single" w:color="1A6B9A" w:sz="4" w:space="4"/>
        </w:pBdr>
        <w:spacing w:after="120" w:before="360"/>
      </w:pPr>
      <w:r>
        <w:rPr>
          <w:rFonts w:ascii="Georgia" w:cs="Georgia" w:eastAsia="Georgia" w:hAnsi="Georgia"/>
          <w:b/>
          <w:bCs/>
          <w:color w:val="0A0A2A"/>
          <w:sz w:val="28"/>
          <w:szCs w:val="28"/>
        </w:rPr>
        <w:t xml:space="preserve">1. Introduction</w:t>
      </w:r>
    </w:p>
    <w:p>
      <w:pPr>
        <w:spacing w:after="80" w:before="80" w:line="320"/>
      </w:pPr>
      <w:r>
        <w:rPr>
          <w:rFonts w:ascii="Georgia" w:cs="Georgia" w:eastAsia="Georgia" w:hAnsi="Georgia"/>
          <w:sz w:val="22"/>
          <w:szCs w:val="22"/>
        </w:rPr>
        <w:t xml:space="preserve">The relationship between gravitational phenomena and quantum decoherence remains one of the most consequential open questions in theoretical physics. This experiment pursues a direct, hardware-executed test: that real gravitational wave strain data, encoded into quantum circuit geometry, produces measurably distinct probability distributions depending on how the fine-structure constant α ≈ 1/137.036 is applied as a scaling parameter.</w:t>
      </w:r>
    </w:p>
    <w:p>
      <w:pPr>
        <w:spacing w:after="80" w:before="80" w:line="320"/>
      </w:pPr>
      <w:r>
        <w:rPr>
          <w:rFonts w:ascii="Georgia" w:cs="Georgia" w:eastAsia="Georgia" w:hAnsi="Georgia"/>
          <w:sz w:val="22"/>
          <w:szCs w:val="22"/>
        </w:rPr>
        <w:t xml:space="preserve">The fine-structure constant appears throughout quantum electrodynamics as a dimensionless coupling parameter. Its potential role as a geometric scaling bridge between gravitational and quantum domains is the central hypothesis. The O’Reilly effect — the hypothesis that observer-coupled qubit entanglement produces measurable decoherence shifts — is the next experimental phase.</w:t>
      </w:r>
    </w:p>
    <w:p>
      <w:pPr>
        <w:spacing w:after="80" w:before="80" w:line="320"/>
      </w:pPr>
      <w:r>
        <w:rPr>
          <w:rFonts w:ascii="Georgia" w:cs="Georgia" w:eastAsia="Georgia" w:hAnsi="Georgia"/>
          <w:sz w:val="22"/>
          <w:szCs w:val="22"/>
        </w:rPr>
        <w:t xml:space="preserve">This work draws on Penrose-Hameroff Orchestrated Objective Reduction (Orch-OR), Verlinde’s entropic gravity, the ER=EPR conjecture, and Scale Relativity (Nottale). The methodology of using AI systems as collaborative research partners is itself treated as a contribution to science and technology studies.</w:t>
      </w:r>
    </w:p>
    <w:p>
      <w:pPr>
        <w:spacing w:after="120" w:before="120"/>
      </w:pPr>
      <w:r>
        <w:t xml:space="preserve"/>
      </w:r>
    </w:p>
    <w:p>
      <w:pPr>
        <w:pStyle w:val="Heading1"/>
        <w:pBdr>
          <w:bottom w:val="single" w:color="1A6B9A" w:sz="4" w:space="4"/>
        </w:pBdr>
        <w:spacing w:after="120" w:before="360"/>
      </w:pPr>
      <w:r>
        <w:rPr>
          <w:rFonts w:ascii="Georgia" w:cs="Georgia" w:eastAsia="Georgia" w:hAnsi="Georgia"/>
          <w:b/>
          <w:bCs/>
          <w:color w:val="0A0A2A"/>
          <w:sz w:val="28"/>
          <w:szCs w:val="28"/>
        </w:rPr>
        <w:t xml:space="preserve">2. Theoretical Framework</w:t>
      </w:r>
    </w:p>
    <w:p>
      <w:pPr>
        <w:pStyle w:val="Heading2"/>
        <w:spacing w:after="80" w:before="240"/>
      </w:pPr>
      <w:r>
        <w:rPr>
          <w:rFonts w:ascii="Georgia" w:cs="Georgia" w:eastAsia="Georgia" w:hAnsi="Georgia"/>
          <w:b/>
          <w:bCs/>
          <w:color w:val="1A6B9A"/>
          <w:sz w:val="24"/>
          <w:szCs w:val="24"/>
        </w:rPr>
        <w:t xml:space="preserve">2.1 Core Hypothesis</w:t>
      </w:r>
    </w:p>
    <w:p>
      <w:pPr>
        <w:spacing w:after="80" w:before="80" w:line="320"/>
      </w:pPr>
      <w:r>
        <w:rPr>
          <w:rFonts w:ascii="Georgia" w:cs="Georgia" w:eastAsia="Georgia" w:hAnsi="Georgia"/>
          <w:sz w:val="22"/>
          <w:szCs w:val="22"/>
        </w:rPr>
        <w:t xml:space="preserve">If gravity and quantum decoherence share a geometric structure, encoding gravitational wave strain data into quantum gate rotations should produce probability distributions that differ meaningfully from random noise. The fine-structure constant α may act as a natural scaling parameter that selects specific regimes in the circuit’s probability geometry.</w:t>
      </w:r>
    </w:p>
    <w:p>
      <w:pPr>
        <w:pStyle w:val="Heading2"/>
        <w:spacing w:after="80" w:before="240"/>
      </w:pPr>
      <w:r>
        <w:rPr>
          <w:rFonts w:ascii="Georgia" w:cs="Georgia" w:eastAsia="Georgia" w:hAnsi="Georgia"/>
          <w:b/>
          <w:bCs/>
          <w:color w:val="1A6B9A"/>
          <w:sz w:val="24"/>
          <w:szCs w:val="24"/>
        </w:rPr>
        <w:t xml:space="preserve">2.2 The O’Reilly Effect</w:t>
      </w:r>
    </w:p>
    <w:p>
      <w:pPr>
        <w:spacing w:after="80" w:before="80" w:line="320"/>
      </w:pPr>
      <w:r>
        <w:rPr>
          <w:rFonts w:ascii="Georgia" w:cs="Georgia" w:eastAsia="Georgia" w:hAnsi="Georgia"/>
          <w:sz w:val="22"/>
          <w:szCs w:val="22"/>
        </w:rPr>
        <w:t xml:space="preserve">The O’Reilly effect posits that an observer-coupled qubit — entangled with encoding qubits but not driven by the gravitational signal — acts as a decoherence probe. If consciousness functions analogously to gravity for quantum phenomena, curving probability space the way mass curves spacetime, then observer coupling should produce a measurable shift in the joint probability distribution.</w:t>
      </w:r>
    </w:p>
    <w:p>
      <w:pPr>
        <w:pStyle w:val="Heading2"/>
        <w:spacing w:after="80" w:before="240"/>
      </w:pPr>
      <w:r>
        <w:rPr>
          <w:rFonts w:ascii="Georgia" w:cs="Georgia" w:eastAsia="Georgia" w:hAnsi="Georgia"/>
          <w:b/>
          <w:bCs/>
          <w:color w:val="1A6B9A"/>
          <w:sz w:val="24"/>
          <w:szCs w:val="24"/>
        </w:rPr>
        <w:t xml:space="preserve">2.3 Encoding Conditions</w:t>
      </w:r>
    </w:p>
    <w:p>
      <w:pPr>
        <w:pStyle w:val="ListParagraph"/>
        <w:numPr>
          <w:ilvl w:val="0"/>
          <w:numId w:val="2"/>
        </w:numPr>
        <w:spacing w:after="60" w:before="60" w:line="300"/>
      </w:pPr>
      <w:r>
        <w:rPr>
          <w:rFonts w:ascii="Georgia" w:cs="Georgia" w:eastAsia="Georgia" w:hAnsi="Georgia"/>
          <w:sz w:val="22"/>
          <w:szCs w:val="22"/>
        </w:rPr>
        <w:t xml:space="preserve">Trial A (Baseline): θ_A = π/4 — representative angle, no scaling</w:t>
      </w:r>
    </w:p>
    <w:p>
      <w:pPr>
        <w:pStyle w:val="ListParagraph"/>
        <w:numPr>
          <w:ilvl w:val="0"/>
          <w:numId w:val="2"/>
        </w:numPr>
        <w:spacing w:after="60" w:before="60" w:line="300"/>
      </w:pPr>
      <w:r>
        <w:rPr>
          <w:rFonts w:ascii="Georgia" w:cs="Georgia" w:eastAsia="Georgia" w:hAnsi="Georgia"/>
          <w:sz w:val="22"/>
          <w:szCs w:val="22"/>
        </w:rPr>
        <w:t xml:space="preserve">Trial B (α-Resonance): θ_B = π/4 · α ≈ 0.006 rad — compressed by ~137×</w:t>
      </w:r>
    </w:p>
    <w:p>
      <w:pPr>
        <w:pStyle w:val="ListParagraph"/>
        <w:numPr>
          <w:ilvl w:val="0"/>
          <w:numId w:val="2"/>
        </w:numPr>
        <w:spacing w:after="60" w:before="60" w:line="300"/>
      </w:pPr>
      <w:r>
        <w:rPr>
          <w:rFonts w:ascii="Georgia" w:cs="Georgia" w:eastAsia="Georgia" w:hAnsi="Georgia"/>
          <w:sz w:val="22"/>
          <w:szCs w:val="22"/>
        </w:rPr>
        <w:t xml:space="preserve">Trial C (Inverted α): θ_C = (π/4 / α) mod 2π ≈ 0.8137 rad — amplified by ~137×</w:t>
      </w:r>
    </w:p>
    <w:p>
      <w:pPr>
        <w:spacing w:after="120" w:before="120"/>
      </w:pPr>
      <w:r>
        <w:t xml:space="preserve"/>
      </w:r>
    </w:p>
    <w:p>
      <w:pPr>
        <w:pStyle w:val="Heading1"/>
        <w:pBdr>
          <w:bottom w:val="single" w:color="1A6B9A" w:sz="4" w:space="4"/>
        </w:pBdr>
        <w:spacing w:after="120" w:before="360"/>
      </w:pPr>
      <w:r>
        <w:rPr>
          <w:rFonts w:ascii="Georgia" w:cs="Georgia" w:eastAsia="Georgia" w:hAnsi="Georgia"/>
          <w:b/>
          <w:bCs/>
          <w:color w:val="0A0A2A"/>
          <w:sz w:val="28"/>
          <w:szCs w:val="28"/>
        </w:rPr>
        <w:t xml:space="preserve">3. Methods</w:t>
      </w:r>
    </w:p>
    <w:p>
      <w:pPr>
        <w:pStyle w:val="Heading2"/>
        <w:spacing w:after="80" w:before="240"/>
      </w:pPr>
      <w:r>
        <w:rPr>
          <w:rFonts w:ascii="Georgia" w:cs="Georgia" w:eastAsia="Georgia" w:hAnsi="Georgia"/>
          <w:b/>
          <w:bCs/>
          <w:color w:val="1A6B9A"/>
          <w:sz w:val="24"/>
          <w:szCs w:val="24"/>
        </w:rPr>
        <w:t xml:space="preserve">3.1 Circuit Architecture</w:t>
      </w:r>
    </w:p>
    <w:p>
      <w:pPr>
        <w:pStyle w:val="ListParagraph"/>
        <w:numPr>
          <w:ilvl w:val="0"/>
          <w:numId w:val="2"/>
        </w:numPr>
        <w:spacing w:after="60" w:before="60" w:line="300"/>
      </w:pPr>
      <w:r>
        <w:rPr>
          <w:rFonts w:ascii="Georgia" w:cs="Georgia" w:eastAsia="Georgia" w:hAnsi="Georgia"/>
          <w:sz w:val="22"/>
          <w:szCs w:val="22"/>
        </w:rPr>
        <w:t xml:space="preserve">Layer 1: Hadamard gates on all qubits — uniform superposition</w:t>
      </w:r>
    </w:p>
    <w:p>
      <w:pPr>
        <w:pStyle w:val="ListParagraph"/>
        <w:numPr>
          <w:ilvl w:val="0"/>
          <w:numId w:val="2"/>
        </w:numPr>
        <w:spacing w:after="60" w:before="60" w:line="300"/>
      </w:pPr>
      <w:r>
        <w:rPr>
          <w:rFonts w:ascii="Georgia" w:cs="Georgia" w:eastAsia="Georgia" w:hAnsi="Georgia"/>
          <w:sz w:val="22"/>
          <w:szCs w:val="22"/>
        </w:rPr>
        <w:t xml:space="preserve">Layer 2: RY(θ) rotations on all qubits — gravitational signal encoding</w:t>
      </w:r>
    </w:p>
    <w:p>
      <w:pPr>
        <w:pStyle w:val="ListParagraph"/>
        <w:numPr>
          <w:ilvl w:val="0"/>
          <w:numId w:val="2"/>
        </w:numPr>
        <w:spacing w:after="60" w:before="60" w:line="300"/>
      </w:pPr>
      <w:r>
        <w:rPr>
          <w:rFonts w:ascii="Georgia" w:cs="Georgia" w:eastAsia="Georgia" w:hAnsi="Georgia"/>
          <w:sz w:val="22"/>
          <w:szCs w:val="22"/>
        </w:rPr>
        <w:t xml:space="preserve">Layer 3: Linear CX chain CX(0,1), CX(1,2) — entanglement</w:t>
      </w:r>
    </w:p>
    <w:p>
      <w:pPr>
        <w:pStyle w:val="ListParagraph"/>
        <w:numPr>
          <w:ilvl w:val="0"/>
          <w:numId w:val="2"/>
        </w:numPr>
        <w:spacing w:after="60" w:before="60" w:line="300"/>
      </w:pPr>
      <w:r>
        <w:rPr>
          <w:rFonts w:ascii="Georgia" w:cs="Georgia" w:eastAsia="Georgia" w:hAnsi="Georgia"/>
          <w:sz w:val="22"/>
          <w:szCs w:val="22"/>
        </w:rPr>
        <w:t xml:space="preserve">Layer 4: RZ(θ/2) on all qubits — second-order phase encoding</w:t>
      </w:r>
    </w:p>
    <w:p>
      <w:pPr>
        <w:pStyle w:val="ListParagraph"/>
        <w:numPr>
          <w:ilvl w:val="0"/>
          <w:numId w:val="2"/>
        </w:numPr>
        <w:spacing w:after="60" w:before="60" w:line="300"/>
      </w:pPr>
      <w:r>
        <w:rPr>
          <w:rFonts w:ascii="Georgia" w:cs="Georgia" w:eastAsia="Georgia" w:hAnsi="Georgia"/>
          <w:sz w:val="22"/>
          <w:szCs w:val="22"/>
        </w:rPr>
        <w:t xml:space="preserve">Measurement: all qubits</w:t>
      </w:r>
    </w:p>
    <w:p>
      <w:pPr>
        <w:spacing w:after="120" w:before="120"/>
      </w:pPr>
      <w:r>
        <w:t xml:space="preserve"/>
      </w:r>
    </w:p>
    <w:p>
      <w:pPr>
        <w:shd w:fill="F0F4F8" w:val="clear"/>
        <w:spacing w:after="60" w:before="60"/>
        <w:ind w:left="720"/>
      </w:pPr>
      <w:r>
        <w:rPr>
          <w:rFonts w:ascii="Courier New" w:cs="Courier New" w:eastAsia="Courier New" w:hAnsi="Courier New"/>
          <w:color w:val="1A3A5C"/>
          <w:sz w:val="18"/>
          <w:szCs w:val="18"/>
        </w:rPr>
        <w:t xml:space="preserve">H⊗n → RY(θ)⊗n → CX(0,1) → CX(1,2) → RZ(θ/2)⊗n → Measure</w:t>
      </w:r>
    </w:p>
    <w:p>
      <w:pPr>
        <w:spacing w:after="120" w:before="120"/>
      </w:pPr>
      <w:r>
        <w:t xml:space="preserve"/>
      </w:r>
    </w:p>
    <w:p>
      <w:pPr>
        <w:pStyle w:val="Heading2"/>
        <w:spacing w:after="80" w:before="240"/>
      </w:pPr>
      <w:r>
        <w:rPr>
          <w:rFonts w:ascii="Georgia" w:cs="Georgia" w:eastAsia="Georgia" w:hAnsi="Georgia"/>
          <w:b/>
          <w:bCs/>
          <w:color w:val="1A6B9A"/>
          <w:sz w:val="24"/>
          <w:szCs w:val="24"/>
        </w:rPr>
        <w:t xml:space="preserve">3.2 Hardware</w:t>
      </w:r>
    </w:p>
    <w:p>
      <w:pPr>
        <w:spacing w:after="80" w:before="80" w:line="320"/>
      </w:pPr>
      <w:r>
        <w:rPr>
          <w:rFonts w:ascii="Georgia" w:cs="Georgia" w:eastAsia="Georgia" w:hAnsi="Georgia"/>
          <w:sz w:val="22"/>
          <w:szCs w:val="22"/>
        </w:rPr>
        <w:t xml:space="preserve">Backend: ibm_marrakesh via Qiskit IBM Runtime SamplerV2. Transpiled to native gate set. Shots: 512–1024 per circuit. All three trials executed in single session, June 3, 2026.</w:t>
      </w:r>
    </w:p>
    <w:p>
      <w:pPr>
        <w:pStyle w:val="Heading2"/>
        <w:spacing w:after="80" w:before="240"/>
      </w:pPr>
      <w:r>
        <w:rPr>
          <w:rFonts w:ascii="Georgia" w:cs="Georgia" w:eastAsia="Georgia" w:hAnsi="Georgia"/>
          <w:b/>
          <w:bCs/>
          <w:color w:val="1A6B9A"/>
          <w:sz w:val="24"/>
          <w:szCs w:val="24"/>
        </w:rPr>
        <w:t xml:space="preserve">3.3 Metrics</w:t>
      </w:r>
    </w:p>
    <w:p>
      <w:pPr>
        <w:pStyle w:val="ListParagraph"/>
        <w:numPr>
          <w:ilvl w:val="0"/>
          <w:numId w:val="2"/>
        </w:numPr>
        <w:spacing w:after="60" w:before="60" w:line="300"/>
      </w:pPr>
      <w:r>
        <w:rPr>
          <w:rFonts w:ascii="Georgia" w:cs="Georgia" w:eastAsia="Georgia" w:hAnsi="Georgia"/>
          <w:sz w:val="22"/>
          <w:szCs w:val="22"/>
        </w:rPr>
        <w:t xml:space="preserve">Shannon Entropy: H = -Σ pᵢ log₂(pᵢ) — classical disorder of measurement distribution</w:t>
      </w:r>
    </w:p>
    <w:p>
      <w:pPr>
        <w:pStyle w:val="ListParagraph"/>
        <w:numPr>
          <w:ilvl w:val="0"/>
          <w:numId w:val="2"/>
        </w:numPr>
        <w:spacing w:after="60" w:before="60" w:line="300"/>
      </w:pPr>
      <w:r>
        <w:rPr>
          <w:rFonts w:ascii="Georgia" w:cs="Georgia" w:eastAsia="Georgia" w:hAnsi="Georgia"/>
          <w:sz w:val="22"/>
          <w:szCs w:val="22"/>
        </w:rPr>
        <w:t xml:space="preserve">Dominant state probability: fraction of shots on the most-measured bitstring</w:t>
      </w:r>
    </w:p>
    <w:p>
      <w:pPr>
        <w:pStyle w:val="ListParagraph"/>
        <w:numPr>
          <w:ilvl w:val="0"/>
          <w:numId w:val="2"/>
        </w:numPr>
        <w:spacing w:after="60" w:before="60" w:line="300"/>
      </w:pPr>
      <w:r>
        <w:rPr>
          <w:rFonts w:ascii="Georgia" w:cs="Georgia" w:eastAsia="Georgia" w:hAnsi="Georgia"/>
          <w:sz w:val="22"/>
          <w:szCs w:val="22"/>
        </w:rPr>
        <w:t xml:space="preserve">Von Neumann Entropy and QFI: computed from statevector for theoretical comparison</w:t>
      </w:r>
    </w:p>
    <w:p>
      <w:pPr>
        <w:spacing w:after="120" w:before="120"/>
      </w:pPr>
      <w:r>
        <w:t xml:space="preserve"/>
      </w:r>
    </w:p>
    <w:p>
      <w:pPr>
        <w:pStyle w:val="Heading1"/>
        <w:pBdr>
          <w:bottom w:val="single" w:color="1A6B9A" w:sz="4" w:space="4"/>
        </w:pBdr>
        <w:spacing w:after="120" w:before="360"/>
      </w:pPr>
      <w:r>
        <w:rPr>
          <w:rFonts w:ascii="Georgia" w:cs="Georgia" w:eastAsia="Georgia" w:hAnsi="Georgia"/>
          <w:b/>
          <w:bCs/>
          <w:color w:val="0A0A2A"/>
          <w:sz w:val="28"/>
          <w:szCs w:val="28"/>
        </w:rPr>
        <w:t xml:space="preserve">4. Results</w:t>
      </w:r>
    </w:p>
    <w:p>
      <w:pPr>
        <w:pStyle w:val="Heading2"/>
        <w:spacing w:after="80" w:before="240"/>
      </w:pPr>
      <w:r>
        <w:rPr>
          <w:rFonts w:ascii="Georgia" w:cs="Georgia" w:eastAsia="Georgia" w:hAnsi="Georgia"/>
          <w:b/>
          <w:bCs/>
          <w:color w:val="1A6B9A"/>
          <w:sz w:val="24"/>
          <w:szCs w:val="24"/>
        </w:rPr>
        <w:t xml:space="preserve">4.1 Entropy Sweep — Table 1</w:t>
      </w:r>
    </w:p>
    <w:p>
      <w:pPr>
        <w:spacing w:after="80" w:before="80" w:line="320"/>
      </w:pPr>
      <w:r>
        <w:rPr>
          <w:rFonts w:ascii="Georgia" w:cs="Georgia" w:eastAsia="Georgia" w:hAnsi="Georgia"/>
          <w:sz w:val="22"/>
          <w:szCs w:val="22"/>
        </w:rPr>
        <w:t xml:space="preserve">8-point sweep across θ ∈ [0, 2π] on ibm_marrakesh (512 shots per point):</w:t>
      </w:r>
    </w:p>
    <w:p>
      <w:pPr>
        <w:spacing w:after="12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c>
          <w:tcPr>
            <w:tcW w:type="dxa" w:w="1872"/>
            <w:tcBorders>
              <w:top w:val="single" w:color="CCCCCC" w:sz="1"/>
              <w:left w:val="single" w:color="CCCCCC" w:sz="1"/>
              <w:bottom w:val="single" w:color="CCCCCC" w:sz="1"/>
              <w:right w:val="single" w:color="CCCCCC" w:sz="1"/>
            </w:tcBorders>
            <w:shd w:fill="1A6B9A" w:val="clear"/>
            <w:tcMar>
              <w:top w:type="dxa" w:w="80"/>
              <w:left w:type="dxa" w:w="120"/>
              <w:bottom w:type="dxa" w:w="80"/>
              <w:right w:type="dxa" w:w="120"/>
            </w:tcMar>
          </w:tcPr>
          <w:p>
            <w:r>
              <w:rPr>
                <w:rFonts w:ascii="Georgia" w:cs="Georgia" w:eastAsia="Georgia" w:hAnsi="Georgia"/>
                <w:b/>
                <w:bCs/>
                <w:color w:val="FFFFFF"/>
                <w:sz w:val="20"/>
                <w:szCs w:val="20"/>
              </w:rPr>
              <w:t xml:space="preserve">θ (rad)</w:t>
            </w:r>
          </w:p>
        </w:tc>
        <w:tc>
          <w:tcPr>
            <w:tcW w:type="dxa" w:w="1872"/>
            <w:tcBorders>
              <w:top w:val="single" w:color="CCCCCC" w:sz="1"/>
              <w:left w:val="single" w:color="CCCCCC" w:sz="1"/>
              <w:bottom w:val="single" w:color="CCCCCC" w:sz="1"/>
              <w:right w:val="single" w:color="CCCCCC" w:sz="1"/>
            </w:tcBorders>
            <w:shd w:fill="1A6B9A" w:val="clear"/>
            <w:tcMar>
              <w:top w:type="dxa" w:w="80"/>
              <w:left w:type="dxa" w:w="120"/>
              <w:bottom w:type="dxa" w:w="80"/>
              <w:right w:type="dxa" w:w="120"/>
            </w:tcMar>
          </w:tcPr>
          <w:p>
            <w:r>
              <w:rPr>
                <w:rFonts w:ascii="Georgia" w:cs="Georgia" w:eastAsia="Georgia" w:hAnsi="Georgia"/>
                <w:b/>
                <w:bCs/>
                <w:color w:val="FFFFFF"/>
                <w:sz w:val="20"/>
                <w:szCs w:val="20"/>
              </w:rPr>
              <w:t xml:space="preserve">Entropy</w:t>
            </w:r>
          </w:p>
        </w:tc>
        <w:tc>
          <w:tcPr>
            <w:tcW w:type="dxa" w:w="1872"/>
            <w:tcBorders>
              <w:top w:val="single" w:color="CCCCCC" w:sz="1"/>
              <w:left w:val="single" w:color="CCCCCC" w:sz="1"/>
              <w:bottom w:val="single" w:color="CCCCCC" w:sz="1"/>
              <w:right w:val="single" w:color="CCCCCC" w:sz="1"/>
            </w:tcBorders>
            <w:shd w:fill="1A6B9A" w:val="clear"/>
            <w:tcMar>
              <w:top w:type="dxa" w:w="80"/>
              <w:left w:type="dxa" w:w="120"/>
              <w:bottom w:type="dxa" w:w="80"/>
              <w:right w:type="dxa" w:w="120"/>
            </w:tcMar>
          </w:tcPr>
          <w:p>
            <w:r>
              <w:rPr>
                <w:rFonts w:ascii="Georgia" w:cs="Georgia" w:eastAsia="Georgia" w:hAnsi="Georgia"/>
                <w:b/>
                <w:bCs/>
                <w:color w:val="FFFFFF"/>
                <w:sz w:val="20"/>
                <w:szCs w:val="20"/>
              </w:rPr>
              <w:t xml:space="preserve">Dominant State</w:t>
            </w:r>
          </w:p>
        </w:tc>
        <w:tc>
          <w:tcPr>
            <w:tcW w:type="dxa" w:w="1872"/>
            <w:tcBorders>
              <w:top w:val="single" w:color="CCCCCC" w:sz="1"/>
              <w:left w:val="single" w:color="CCCCCC" w:sz="1"/>
              <w:bottom w:val="single" w:color="CCCCCC" w:sz="1"/>
              <w:right w:val="single" w:color="CCCCCC" w:sz="1"/>
            </w:tcBorders>
            <w:shd w:fill="1A6B9A" w:val="clear"/>
            <w:tcMar>
              <w:top w:type="dxa" w:w="80"/>
              <w:left w:type="dxa" w:w="120"/>
              <w:bottom w:type="dxa" w:w="80"/>
              <w:right w:type="dxa" w:w="120"/>
            </w:tcMar>
          </w:tcPr>
          <w:p>
            <w:r>
              <w:rPr>
                <w:rFonts w:ascii="Georgia" w:cs="Georgia" w:eastAsia="Georgia" w:hAnsi="Georgia"/>
                <w:b/>
                <w:bCs/>
                <w:color w:val="FFFFFF"/>
                <w:sz w:val="20"/>
                <w:szCs w:val="20"/>
              </w:rPr>
              <w:t xml:space="preserve">Count/512</w:t>
            </w:r>
          </w:p>
        </w:tc>
        <w:tc>
          <w:tcPr>
            <w:tcW w:type="dxa" w:w="1872"/>
            <w:tcBorders>
              <w:top w:val="single" w:color="CCCCCC" w:sz="1"/>
              <w:left w:val="single" w:color="CCCCCC" w:sz="1"/>
              <w:bottom w:val="single" w:color="CCCCCC" w:sz="1"/>
              <w:right w:val="single" w:color="CCCCCC" w:sz="1"/>
            </w:tcBorders>
            <w:shd w:fill="1A6B9A" w:val="clear"/>
            <w:tcMar>
              <w:top w:type="dxa" w:w="80"/>
              <w:left w:type="dxa" w:w="120"/>
              <w:bottom w:type="dxa" w:w="80"/>
              <w:right w:type="dxa" w:w="120"/>
            </w:tcMar>
          </w:tcPr>
          <w:p>
            <w:r>
              <w:rPr>
                <w:rFonts w:ascii="Georgia" w:cs="Georgia" w:eastAsia="Georgia" w:hAnsi="Georgia"/>
                <w:b/>
                <w:bCs/>
                <w:color w:val="FFFFFF"/>
                <w:sz w:val="20"/>
                <w:szCs w:val="20"/>
              </w:rPr>
              <w:t xml:space="preserve">Character</w:t>
            </w:r>
          </w:p>
        </w:tc>
      </w:tr>
      <w:tr>
        <w:tc>
          <w:tcPr>
            <w:tcW w:type="dxa" w:w="1872"/>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0.000</w:t>
            </w:r>
          </w:p>
        </w:tc>
        <w:tc>
          <w:tcPr>
            <w:tcW w:type="dxa" w:w="1872"/>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2.9805</w:t>
            </w:r>
          </w:p>
        </w:tc>
        <w:tc>
          <w:tcPr>
            <w:tcW w:type="dxa" w:w="1872"/>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uniform</w:t>
            </w:r>
          </w:p>
        </w:tc>
        <w:tc>
          <w:tcPr>
            <w:tcW w:type="dxa" w:w="1872"/>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w:t>
            </w:r>
          </w:p>
        </w:tc>
        <w:tc>
          <w:tcPr>
            <w:tcW w:type="dxa" w:w="1872"/>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Maximum disorder</w:t>
            </w:r>
          </w:p>
        </w:tc>
      </w:tr>
      <w:tr>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0.898</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1.9564</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'101'</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296</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Structured</w:t>
            </w:r>
          </w:p>
        </w:tc>
      </w:tr>
      <w:tr>
        <w:tc>
          <w:tcPr>
            <w:tcW w:type="dxa" w:w="1872"/>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1.795</w:t>
            </w:r>
          </w:p>
        </w:tc>
        <w:tc>
          <w:tcPr>
            <w:tcW w:type="dxa" w:w="1872"/>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1.0727</w:t>
            </w:r>
          </w:p>
        </w:tc>
        <w:tc>
          <w:tcPr>
            <w:tcW w:type="dxa" w:w="1872"/>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'101'</w:t>
            </w:r>
          </w:p>
        </w:tc>
        <w:tc>
          <w:tcPr>
            <w:tcW w:type="dxa" w:w="1872"/>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415</w:t>
            </w:r>
          </w:p>
        </w:tc>
        <w:tc>
          <w:tcPr>
            <w:tcW w:type="dxa" w:w="1872"/>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Highly ordered</w:t>
            </w:r>
          </w:p>
        </w:tc>
      </w:tr>
      <w:tr>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2.693</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2.6653</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'101'</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165</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Returning flat</w:t>
            </w:r>
          </w:p>
        </w:tc>
      </w:tr>
      <w:tr>
        <w:tc>
          <w:tcPr>
            <w:tcW w:type="dxa" w:w="1872"/>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3.590</w:t>
            </w:r>
          </w:p>
        </w:tc>
        <w:tc>
          <w:tcPr>
            <w:tcW w:type="dxa" w:w="1872"/>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2.5653</w:t>
            </w:r>
          </w:p>
        </w:tc>
        <w:tc>
          <w:tcPr>
            <w:tcW w:type="dxa" w:w="1872"/>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'000'</w:t>
            </w:r>
          </w:p>
        </w:tc>
        <w:tc>
          <w:tcPr>
            <w:tcW w:type="dxa" w:w="1872"/>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186</w:t>
            </w:r>
          </w:p>
        </w:tc>
        <w:tc>
          <w:tcPr>
            <w:tcW w:type="dxa" w:w="1872"/>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Mixed</w:t>
            </w:r>
          </w:p>
        </w:tc>
      </w:tr>
      <w:tr>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4.488</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0.8369</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'000'</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437</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Most ordered</w:t>
            </w:r>
          </w:p>
        </w:tc>
      </w:tr>
      <w:tr>
        <w:tc>
          <w:tcPr>
            <w:tcW w:type="dxa" w:w="1872"/>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5.386</w:t>
            </w:r>
          </w:p>
        </w:tc>
        <w:tc>
          <w:tcPr>
            <w:tcW w:type="dxa" w:w="1872"/>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1.7484</w:t>
            </w:r>
          </w:p>
        </w:tc>
        <w:tc>
          <w:tcPr>
            <w:tcW w:type="dxa" w:w="1872"/>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'000'</w:t>
            </w:r>
          </w:p>
        </w:tc>
        <w:tc>
          <w:tcPr>
            <w:tcW w:type="dxa" w:w="1872"/>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328</w:t>
            </w:r>
          </w:p>
        </w:tc>
        <w:tc>
          <w:tcPr>
            <w:tcW w:type="dxa" w:w="1872"/>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Ordered</w:t>
            </w:r>
          </w:p>
        </w:tc>
      </w:tr>
      <w:tr>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6.283</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2.9886</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uniform</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w:t>
            </w:r>
          </w:p>
        </w:tc>
        <w:tc>
          <w:tcPr>
            <w:tcW w:type="dxa" w:w="1872"/>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Maximum disorder</w:t>
            </w:r>
          </w:p>
        </w:tc>
      </w:tr>
    </w:tbl>
    <w:p>
      <w:pPr>
        <w:spacing w:after="120" w:before="120"/>
      </w:pPr>
      <w:r>
        <w:t xml:space="preserve"/>
      </w:r>
    </w:p>
    <w:p>
      <w:pPr>
        <w:spacing w:after="80" w:before="80" w:line="320"/>
      </w:pPr>
      <w:r>
        <w:rPr>
          <w:rFonts w:ascii="Georgia" w:cs="Georgia" w:eastAsia="Georgia" w:hAnsi="Georgia"/>
          <w:i/>
          <w:iCs/>
          <w:color w:val="555555"/>
          <w:sz w:val="22"/>
          <w:szCs w:val="22"/>
        </w:rPr>
        <w:t xml:space="preserve">The sweep reveals two ordering regimes: '101'-dominant near θ ≈ 1.795 rad and '000'-dominant near θ ≈ 4.488 rad, with maximum disorder at both endpoints.</w:t>
      </w:r>
    </w:p>
    <w:p>
      <w:pPr>
        <w:spacing w:after="120" w:before="120"/>
      </w:pPr>
      <w:r>
        <w:t xml:space="preserve"/>
      </w:r>
    </w:p>
    <w:p>
      <w:pPr>
        <w:pStyle w:val="Heading2"/>
        <w:spacing w:after="80" w:before="240"/>
      </w:pPr>
      <w:r>
        <w:rPr>
          <w:rFonts w:ascii="Georgia" w:cs="Georgia" w:eastAsia="Georgia" w:hAnsi="Georgia"/>
          <w:b/>
          <w:bCs/>
          <w:color w:val="1A6B9A"/>
          <w:sz w:val="24"/>
          <w:szCs w:val="24"/>
        </w:rPr>
        <w:t xml:space="preserve">4.2 Trial A — Baseline (θ = π/4 ≈ 0.785 rad)</w:t>
      </w:r>
    </w:p>
    <w:p>
      <w:pPr>
        <w:spacing w:after="80" w:before="80" w:line="320"/>
      </w:pPr>
      <w:r>
        <w:rPr>
          <w:rFonts w:ascii="Georgia" w:cs="Georgia" w:eastAsia="Georgia" w:hAnsi="Georgia"/>
          <w:sz w:val="22"/>
          <w:szCs w:val="22"/>
        </w:rPr>
        <w:t xml:space="preserve">1024 shots on ibm_marrakesh:</w:t>
      </w:r>
    </w:p>
    <w:p>
      <w:pPr>
        <w:spacing w:after="120" w:before="120"/>
      </w:pPr>
      <w:r>
        <w:t xml:space="preserve"/>
      </w:r>
    </w:p>
    <w:p>
      <w:pPr>
        <w:shd w:fill="F0F4F8" w:val="clear"/>
        <w:spacing w:after="60" w:before="60"/>
        <w:ind w:left="720"/>
      </w:pPr>
      <w:r>
        <w:rPr>
          <w:rFonts w:ascii="Courier New" w:cs="Courier New" w:eastAsia="Courier New" w:hAnsi="Courier New"/>
          <w:color w:val="1A3A5C"/>
          <w:sz w:val="18"/>
          <w:szCs w:val="18"/>
        </w:rPr>
        <w:t xml:space="preserve">'001': 205   '011': 238   '100':  29   '101': 215</w:t>
      </w:r>
    </w:p>
    <w:p>
      <w:pPr>
        <w:shd w:fill="F0F4F8" w:val="clear"/>
        <w:spacing w:after="60" w:before="60"/>
        <w:ind w:left="720"/>
      </w:pPr>
      <w:r>
        <w:rPr>
          <w:rFonts w:ascii="Courier New" w:cs="Courier New" w:eastAsia="Courier New" w:hAnsi="Courier New"/>
          <w:color w:val="1A3A5C"/>
          <w:sz w:val="18"/>
          <w:szCs w:val="18"/>
        </w:rPr>
        <w:t xml:space="preserve">'010':  36   '111': 214   '110':  52   '000':  35</w:t>
      </w:r>
    </w:p>
    <w:p>
      <w:pPr>
        <w:spacing w:after="120" w:before="120"/>
      </w:pPr>
      <w:r>
        <w:t xml:space="preserve"/>
      </w:r>
    </w:p>
    <w:p>
      <w:pPr>
        <w:spacing w:after="80" w:before="80" w:line="320"/>
      </w:pPr>
      <w:r>
        <w:rPr>
          <w:rFonts w:ascii="Georgia" w:cs="Georgia" w:eastAsia="Georgia" w:hAnsi="Georgia"/>
          <w:sz w:val="22"/>
          <w:szCs w:val="22"/>
        </w:rPr>
        <w:t xml:space="preserve">Strong odd-parity clustering. States |001⟩, |011⟩, |101⟩, |111⟩ collectively receive 872/1024 shots (85%). A clear geometric signal in the circuit’s probability landscape.</w:t>
      </w:r>
    </w:p>
    <w:p>
      <w:pPr>
        <w:spacing w:after="120" w:before="120"/>
      </w:pPr>
      <w:r>
        <w:t xml:space="preserve"/>
      </w:r>
    </w:p>
    <w:p>
      <w:pPr>
        <w:pStyle w:val="Heading2"/>
        <w:spacing w:after="80" w:before="240"/>
      </w:pPr>
      <w:r>
        <w:rPr>
          <w:rFonts w:ascii="Georgia" w:cs="Georgia" w:eastAsia="Georgia" w:hAnsi="Georgia"/>
          <w:b/>
          <w:bCs/>
          <w:color w:val="1A6B9A"/>
          <w:sz w:val="24"/>
          <w:szCs w:val="24"/>
        </w:rPr>
        <w:t xml:space="preserve">4.3 Trial B — α-Resonance (θ = π/4 · α ≈ 0.006 rad)</w:t>
      </w:r>
    </w:p>
    <w:p>
      <w:pPr>
        <w:spacing w:after="80" w:before="80" w:line="320"/>
      </w:pPr>
      <w:r>
        <w:rPr>
          <w:rFonts w:ascii="Georgia" w:cs="Georgia" w:eastAsia="Georgia" w:hAnsi="Georgia"/>
          <w:sz w:val="22"/>
          <w:szCs w:val="22"/>
        </w:rPr>
        <w:t xml:space="preserve">1024 shots on ibm_marrakesh:</w:t>
      </w:r>
    </w:p>
    <w:p>
      <w:pPr>
        <w:spacing w:after="120" w:before="120"/>
      </w:pPr>
      <w:r>
        <w:t xml:space="preserve"/>
      </w:r>
    </w:p>
    <w:p>
      <w:pPr>
        <w:shd w:fill="F0F4F8" w:val="clear"/>
        <w:spacing w:after="60" w:before="60"/>
        <w:ind w:left="720"/>
      </w:pPr>
      <w:r>
        <w:rPr>
          <w:rFonts w:ascii="Courier New" w:cs="Courier New" w:eastAsia="Courier New" w:hAnsi="Courier New"/>
          <w:color w:val="1A3A5C"/>
          <w:sz w:val="18"/>
          <w:szCs w:val="18"/>
        </w:rPr>
        <w:t xml:space="preserve">'111': 135   '011': 121   '110': 151   '001': 112</w:t>
      </w:r>
    </w:p>
    <w:p>
      <w:pPr>
        <w:shd w:fill="F0F4F8" w:val="clear"/>
        <w:spacing w:after="60" w:before="60"/>
        <w:ind w:left="720"/>
      </w:pPr>
      <w:r>
        <w:rPr>
          <w:rFonts w:ascii="Courier New" w:cs="Courier New" w:eastAsia="Courier New" w:hAnsi="Courier New"/>
          <w:color w:val="1A3A5C"/>
          <w:sz w:val="18"/>
          <w:szCs w:val="18"/>
        </w:rPr>
        <w:t xml:space="preserve">'010': 123   '100': 127   '101': 129   '000': 126</w:t>
      </w:r>
    </w:p>
    <w:p>
      <w:pPr>
        <w:spacing w:after="120" w:before="120"/>
      </w:pPr>
      <w:r>
        <w:t xml:space="preserve"/>
      </w:r>
    </w:p>
    <w:p>
      <w:pPr>
        <w:spacing w:after="80" w:before="80" w:line="320"/>
      </w:pPr>
      <w:r>
        <w:rPr>
          <w:rFonts w:ascii="Georgia" w:cs="Georgia" w:eastAsia="Georgia" w:hAnsi="Georgia"/>
          <w:sz w:val="22"/>
          <w:szCs w:val="22"/>
        </w:rPr>
        <w:t xml:space="preserve">Near-perfectly uniform distribution (range: 112–151, expected: 128). α-scaling places the encoding angle in the maximum-disorder regime, collapsing all geometric structure.</w:t>
      </w:r>
    </w:p>
    <w:p>
      <w:pPr>
        <w:spacing w:after="120" w:before="120"/>
      </w:pPr>
      <w:r>
        <w:t xml:space="preserve"/>
      </w:r>
    </w:p>
    <w:p>
      <w:pPr>
        <w:pStyle w:val="Heading2"/>
        <w:spacing w:after="80" w:before="240"/>
      </w:pPr>
      <w:r>
        <w:rPr>
          <w:rFonts w:ascii="Georgia" w:cs="Georgia" w:eastAsia="Georgia" w:hAnsi="Georgia"/>
          <w:b/>
          <w:bCs/>
          <w:color w:val="1A6B9A"/>
          <w:sz w:val="24"/>
          <w:szCs w:val="24"/>
        </w:rPr>
        <w:t xml:space="preserve">4.4 Trial C — Inverted α (θ = π/4 / α mod 2π = 0.8137 rad)</w:t>
      </w:r>
    </w:p>
    <w:p>
      <w:pPr>
        <w:spacing w:after="80" w:before="80" w:line="320"/>
      </w:pPr>
      <w:r>
        <w:rPr>
          <w:rFonts w:ascii="Georgia" w:cs="Georgia" w:eastAsia="Georgia" w:hAnsi="Georgia"/>
          <w:sz w:val="22"/>
          <w:szCs w:val="22"/>
        </w:rPr>
        <w:t xml:space="preserve">1024 shots on ibm_marrakesh:</w:t>
      </w:r>
    </w:p>
    <w:p>
      <w:pPr>
        <w:spacing w:after="120" w:before="120"/>
      </w:pPr>
      <w:r>
        <w:t xml:space="preserve"/>
      </w:r>
    </w:p>
    <w:p>
      <w:pPr>
        <w:shd w:fill="F0F4F8" w:val="clear"/>
        <w:spacing w:after="60" w:before="60"/>
        <w:ind w:left="720"/>
      </w:pPr>
      <w:r>
        <w:rPr>
          <w:rFonts w:ascii="Courier New" w:cs="Courier New" w:eastAsia="Courier New" w:hAnsi="Courier New"/>
          <w:color w:val="1A3A5C"/>
          <w:sz w:val="18"/>
          <w:szCs w:val="18"/>
        </w:rPr>
        <w:t xml:space="preserve">'101': 582   '011': 137   '010': 111   '001':  77</w:t>
      </w:r>
    </w:p>
    <w:p>
      <w:pPr>
        <w:shd w:fill="F0F4F8" w:val="clear"/>
        <w:spacing w:after="60" w:before="60"/>
        <w:ind w:left="720"/>
      </w:pPr>
      <w:r>
        <w:rPr>
          <w:rFonts w:ascii="Courier New" w:cs="Courier New" w:eastAsia="Courier New" w:hAnsi="Courier New"/>
          <w:color w:val="1A3A5C"/>
          <w:sz w:val="18"/>
          <w:szCs w:val="18"/>
        </w:rPr>
        <w:t xml:space="preserve">'100':  31   '111':  68   '110':  17   '000':   1</w:t>
      </w:r>
    </w:p>
    <w:p>
      <w:pPr>
        <w:spacing w:after="120" w:before="120"/>
      </w:pPr>
      <w:r>
        <w:t xml:space="preserve"/>
      </w:r>
    </w:p>
    <w:p>
      <w:pPr>
        <w:pBdr>
          <w:left w:val="single" w:color="8B6914" w:sz="8" w:space="8"/>
        </w:pBdr>
        <w:shd w:fill="FFF8E7" w:val="clear"/>
        <w:spacing w:after="120" w:before="120" w:line="320"/>
        <w:ind w:left="360"/>
      </w:pPr>
      <w:r>
        <w:rPr>
          <w:rFonts w:ascii="Georgia" w:cs="Georgia" w:eastAsia="Georgia" w:hAnsi="Georgia"/>
          <w:b/>
          <w:bCs/>
          <w:color w:val="8B6914"/>
          <w:sz w:val="22"/>
          <w:szCs w:val="22"/>
        </w:rPr>
        <w:t xml:space="preserve">'101' received 582/1024 shots — 56.8% of all probability mass on a single quantum state.</w:t>
      </w:r>
    </w:p>
    <w:p>
      <w:pPr>
        <w:spacing w:after="120" w:before="120"/>
      </w:pPr>
      <w:r>
        <w:t xml:space="preserve"/>
      </w:r>
    </w:p>
    <w:p>
      <w:pPr>
        <w:spacing w:after="80" w:before="80" w:line="320"/>
      </w:pPr>
      <w:r>
        <w:rPr>
          <w:rFonts w:ascii="Georgia" w:cs="Georgia" w:eastAsia="Georgia" w:hAnsi="Georgia"/>
          <w:sz w:val="22"/>
          <w:szCs w:val="22"/>
        </w:rPr>
        <w:t xml:space="preserve">This is the highest single-state concentration observed in this experimental series. State |000⟩ received only 1/1024 shots — effectively suppressed entirely. The inverted α condition produces extreme quantum ordering.</w:t>
      </w:r>
    </w:p>
    <w:p>
      <w:pPr>
        <w:spacing w:after="120" w:before="120"/>
      </w:pPr>
      <w:r>
        <w:t xml:space="preserve"/>
      </w:r>
    </w:p>
    <w:p>
      <w:pPr>
        <w:pStyle w:val="Heading2"/>
        <w:spacing w:after="80" w:before="240"/>
      </w:pPr>
      <w:r>
        <w:rPr>
          <w:rFonts w:ascii="Georgia" w:cs="Georgia" w:eastAsia="Georgia" w:hAnsi="Georgia"/>
          <w:b/>
          <w:bCs/>
          <w:color w:val="1A6B9A"/>
          <w:sz w:val="24"/>
          <w:szCs w:val="24"/>
        </w:rPr>
        <w:t xml:space="preserve">4.5 Comparative Summary — Table 2</w:t>
      </w:r>
    </w:p>
    <w:p>
      <w:pPr>
        <w:spacing w:after="12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560"/>
        <w:gridCol w:w="1560"/>
        <w:gridCol w:w="1560"/>
        <w:gridCol w:w="1560"/>
        <w:gridCol w:w="1560"/>
      </w:tblGrid>
      <w:tr>
        <w:tc>
          <w:tcPr>
            <w:tcW w:type="dxa" w:w="1560"/>
            <w:tcBorders>
              <w:top w:val="single" w:color="CCCCCC" w:sz="1"/>
              <w:left w:val="single" w:color="CCCCCC" w:sz="1"/>
              <w:bottom w:val="single" w:color="CCCCCC" w:sz="1"/>
              <w:right w:val="single" w:color="CCCCCC" w:sz="1"/>
            </w:tcBorders>
            <w:shd w:fill="1A6B9A" w:val="clear"/>
            <w:tcMar>
              <w:top w:type="dxa" w:w="80"/>
              <w:left w:type="dxa" w:w="120"/>
              <w:bottom w:type="dxa" w:w="80"/>
              <w:right w:type="dxa" w:w="120"/>
            </w:tcMar>
          </w:tcPr>
          <w:p>
            <w:r>
              <w:rPr>
                <w:rFonts w:ascii="Georgia" w:cs="Georgia" w:eastAsia="Georgia" w:hAnsi="Georgia"/>
                <w:b/>
                <w:bCs/>
                <w:color w:val="FFFFFF"/>
                <w:sz w:val="20"/>
                <w:szCs w:val="20"/>
              </w:rPr>
              <w:t xml:space="preserve">Trial</w:t>
            </w:r>
          </w:p>
        </w:tc>
        <w:tc>
          <w:tcPr>
            <w:tcW w:type="dxa" w:w="1560"/>
            <w:tcBorders>
              <w:top w:val="single" w:color="CCCCCC" w:sz="1"/>
              <w:left w:val="single" w:color="CCCCCC" w:sz="1"/>
              <w:bottom w:val="single" w:color="CCCCCC" w:sz="1"/>
              <w:right w:val="single" w:color="CCCCCC" w:sz="1"/>
            </w:tcBorders>
            <w:shd w:fill="1A6B9A" w:val="clear"/>
            <w:tcMar>
              <w:top w:type="dxa" w:w="80"/>
              <w:left w:type="dxa" w:w="120"/>
              <w:bottom w:type="dxa" w:w="80"/>
              <w:right w:type="dxa" w:w="120"/>
            </w:tcMar>
          </w:tcPr>
          <w:p>
            <w:r>
              <w:rPr>
                <w:rFonts w:ascii="Georgia" w:cs="Georgia" w:eastAsia="Georgia" w:hAnsi="Georgia"/>
                <w:b/>
                <w:bCs/>
                <w:color w:val="FFFFFF"/>
                <w:sz w:val="20"/>
                <w:szCs w:val="20"/>
              </w:rPr>
              <w:t xml:space="preserve">θ (rad)</w:t>
            </w:r>
          </w:p>
        </w:tc>
        <w:tc>
          <w:tcPr>
            <w:tcW w:type="dxa" w:w="1560"/>
            <w:tcBorders>
              <w:top w:val="single" w:color="CCCCCC" w:sz="1"/>
              <w:left w:val="single" w:color="CCCCCC" w:sz="1"/>
              <w:bottom w:val="single" w:color="CCCCCC" w:sz="1"/>
              <w:right w:val="single" w:color="CCCCCC" w:sz="1"/>
            </w:tcBorders>
            <w:shd w:fill="1A6B9A" w:val="clear"/>
            <w:tcMar>
              <w:top w:type="dxa" w:w="80"/>
              <w:left w:type="dxa" w:w="120"/>
              <w:bottom w:type="dxa" w:w="80"/>
              <w:right w:type="dxa" w:w="120"/>
            </w:tcMar>
          </w:tcPr>
          <w:p>
            <w:r>
              <w:rPr>
                <w:rFonts w:ascii="Georgia" w:cs="Georgia" w:eastAsia="Georgia" w:hAnsi="Georgia"/>
                <w:b/>
                <w:bCs/>
                <w:color w:val="FFFFFF"/>
                <w:sz w:val="20"/>
                <w:szCs w:val="20"/>
              </w:rPr>
              <w:t xml:space="preserve">Dominant State</w:t>
            </w:r>
          </w:p>
        </w:tc>
        <w:tc>
          <w:tcPr>
            <w:tcW w:type="dxa" w:w="1560"/>
            <w:tcBorders>
              <w:top w:val="single" w:color="CCCCCC" w:sz="1"/>
              <w:left w:val="single" w:color="CCCCCC" w:sz="1"/>
              <w:bottom w:val="single" w:color="CCCCCC" w:sz="1"/>
              <w:right w:val="single" w:color="CCCCCC" w:sz="1"/>
            </w:tcBorders>
            <w:shd w:fill="1A6B9A" w:val="clear"/>
            <w:tcMar>
              <w:top w:type="dxa" w:w="80"/>
              <w:left w:type="dxa" w:w="120"/>
              <w:bottom w:type="dxa" w:w="80"/>
              <w:right w:type="dxa" w:w="120"/>
            </w:tcMar>
          </w:tcPr>
          <w:p>
            <w:r>
              <w:rPr>
                <w:rFonts w:ascii="Georgia" w:cs="Georgia" w:eastAsia="Georgia" w:hAnsi="Georgia"/>
                <w:b/>
                <w:bCs/>
                <w:color w:val="FFFFFF"/>
                <w:sz w:val="20"/>
                <w:szCs w:val="20"/>
              </w:rPr>
              <w:t xml:space="preserve">Peak Count/1024</w:t>
            </w:r>
          </w:p>
        </w:tc>
        <w:tc>
          <w:tcPr>
            <w:tcW w:type="dxa" w:w="1560"/>
            <w:tcBorders>
              <w:top w:val="single" w:color="CCCCCC" w:sz="1"/>
              <w:left w:val="single" w:color="CCCCCC" w:sz="1"/>
              <w:bottom w:val="single" w:color="CCCCCC" w:sz="1"/>
              <w:right w:val="single" w:color="CCCCCC" w:sz="1"/>
            </w:tcBorders>
            <w:shd w:fill="1A6B9A" w:val="clear"/>
            <w:tcMar>
              <w:top w:type="dxa" w:w="80"/>
              <w:left w:type="dxa" w:w="120"/>
              <w:bottom w:type="dxa" w:w="80"/>
              <w:right w:type="dxa" w:w="120"/>
            </w:tcMar>
          </w:tcPr>
          <w:p>
            <w:r>
              <w:rPr>
                <w:rFonts w:ascii="Georgia" w:cs="Georgia" w:eastAsia="Georgia" w:hAnsi="Georgia"/>
                <w:b/>
                <w:bCs/>
                <w:color w:val="FFFFFF"/>
                <w:sz w:val="20"/>
                <w:szCs w:val="20"/>
              </w:rPr>
              <w:t xml:space="preserve">Shannon H</w:t>
            </w:r>
          </w:p>
        </w:tc>
        <w:tc>
          <w:tcPr>
            <w:tcW w:type="dxa" w:w="1560"/>
            <w:tcBorders>
              <w:top w:val="single" w:color="CCCCCC" w:sz="1"/>
              <w:left w:val="single" w:color="CCCCCC" w:sz="1"/>
              <w:bottom w:val="single" w:color="CCCCCC" w:sz="1"/>
              <w:right w:val="single" w:color="CCCCCC" w:sz="1"/>
            </w:tcBorders>
            <w:shd w:fill="1A6B9A" w:val="clear"/>
            <w:tcMar>
              <w:top w:type="dxa" w:w="80"/>
              <w:left w:type="dxa" w:w="120"/>
              <w:bottom w:type="dxa" w:w="80"/>
              <w:right w:type="dxa" w:w="120"/>
            </w:tcMar>
          </w:tcPr>
          <w:p>
            <w:r>
              <w:rPr>
                <w:rFonts w:ascii="Georgia" w:cs="Georgia" w:eastAsia="Georgia" w:hAnsi="Georgia"/>
                <w:b/>
                <w:bCs/>
                <w:color w:val="FFFFFF"/>
                <w:sz w:val="20"/>
                <w:szCs w:val="20"/>
              </w:rPr>
              <w:t xml:space="preserve">Character</w:t>
            </w:r>
          </w:p>
        </w:tc>
      </w:tr>
      <w:tr>
        <w:tc>
          <w:tcPr>
            <w:tcW w:type="dxa" w:w="1560"/>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A — Baseline</w:t>
            </w:r>
          </w:p>
        </w:tc>
        <w:tc>
          <w:tcPr>
            <w:tcW w:type="dxa" w:w="1560"/>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0.785</w:t>
            </w:r>
          </w:p>
        </w:tc>
        <w:tc>
          <w:tcPr>
            <w:tcW w:type="dxa" w:w="1560"/>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'011'</w:t>
            </w:r>
          </w:p>
        </w:tc>
        <w:tc>
          <w:tcPr>
            <w:tcW w:type="dxa" w:w="1560"/>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238 (23.2%)</w:t>
            </w:r>
          </w:p>
        </w:tc>
        <w:tc>
          <w:tcPr>
            <w:tcW w:type="dxa" w:w="1560"/>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~2.5</w:t>
            </w:r>
          </w:p>
        </w:tc>
        <w:tc>
          <w:tcPr>
            <w:tcW w:type="dxa" w:w="1560"/>
            <w:tcBorders>
              <w:top w:val="single" w:color="CCCCCC" w:sz="1"/>
              <w:left w:val="single" w:color="CCCCCC" w:sz="1"/>
              <w:bottom w:val="single" w:color="CCCCCC" w:sz="1"/>
              <w:right w:val="single" w:color="CCCCCC" w:sz="1"/>
            </w:tcBorders>
            <w:shd w:fill="F8FAFC"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Structured, odd-parity</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B — α ×</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0.006</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uniform</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~128 (12.5%)</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~3.0</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Courier New" w:cs="Courier New" w:eastAsia="Courier New" w:hAnsi="Courier New"/>
                <w:b w:val="false"/>
                <w:bCs w:val="false"/>
                <w:color w:val="1A1A2A"/>
                <w:sz w:val="20"/>
                <w:szCs w:val="20"/>
              </w:rPr>
              <w:t xml:space="preserve">Maximum disorder</w:t>
            </w:r>
          </w:p>
        </w:tc>
      </w:tr>
      <w:tr>
        <w:tc>
          <w:tcPr>
            <w:tcW w:type="dxa" w:w="1560"/>
            <w:tcBorders>
              <w:top w:val="single" w:color="CCCCCC" w:sz="1"/>
              <w:left w:val="single" w:color="CCCCCC" w:sz="1"/>
              <w:bottom w:val="single" w:color="CCCCCC" w:sz="1"/>
              <w:right w:val="single" w:color="CCCCCC" w:sz="1"/>
            </w:tcBorders>
            <w:shd w:fill="FFF8E7" w:val="clear"/>
            <w:tcMar>
              <w:top w:type="dxa" w:w="80"/>
              <w:left w:type="dxa" w:w="120"/>
              <w:bottom w:type="dxa" w:w="80"/>
              <w:right w:type="dxa" w:w="120"/>
            </w:tcMar>
          </w:tcPr>
          <w:p>
            <w:r>
              <w:rPr>
                <w:rFonts w:ascii="Georgia" w:cs="Georgia" w:eastAsia="Georgia" w:hAnsi="Georgia"/>
                <w:b/>
                <w:bCs/>
                <w:color w:val="8B6914"/>
                <w:sz w:val="20"/>
                <w:szCs w:val="20"/>
              </w:rPr>
              <w:t xml:space="preserve">C — α ÷ ★</w:t>
            </w:r>
          </w:p>
        </w:tc>
        <w:tc>
          <w:tcPr>
            <w:tcW w:type="dxa" w:w="1560"/>
            <w:tcBorders>
              <w:top w:val="single" w:color="CCCCCC" w:sz="1"/>
              <w:left w:val="single" w:color="CCCCCC" w:sz="1"/>
              <w:bottom w:val="single" w:color="CCCCCC" w:sz="1"/>
              <w:right w:val="single" w:color="CCCCCC" w:sz="1"/>
            </w:tcBorders>
            <w:shd w:fill="FFF8E7" w:val="clear"/>
            <w:tcMar>
              <w:top w:type="dxa" w:w="80"/>
              <w:left w:type="dxa" w:w="120"/>
              <w:bottom w:type="dxa" w:w="80"/>
              <w:right w:type="dxa" w:w="120"/>
            </w:tcMar>
          </w:tcPr>
          <w:p>
            <w:r>
              <w:rPr>
                <w:rFonts w:ascii="Georgia" w:cs="Georgia" w:eastAsia="Georgia" w:hAnsi="Georgia"/>
                <w:b/>
                <w:bCs/>
                <w:color w:val="8B6914"/>
                <w:sz w:val="20"/>
                <w:szCs w:val="20"/>
              </w:rPr>
              <w:t xml:space="preserve">0.8137</w:t>
            </w:r>
          </w:p>
        </w:tc>
        <w:tc>
          <w:tcPr>
            <w:tcW w:type="dxa" w:w="1560"/>
            <w:tcBorders>
              <w:top w:val="single" w:color="CCCCCC" w:sz="1"/>
              <w:left w:val="single" w:color="CCCCCC" w:sz="1"/>
              <w:bottom w:val="single" w:color="CCCCCC" w:sz="1"/>
              <w:right w:val="single" w:color="CCCCCC" w:sz="1"/>
            </w:tcBorders>
            <w:shd w:fill="FFF8E7" w:val="clear"/>
            <w:tcMar>
              <w:top w:type="dxa" w:w="80"/>
              <w:left w:type="dxa" w:w="120"/>
              <w:bottom w:type="dxa" w:w="80"/>
              <w:right w:type="dxa" w:w="120"/>
            </w:tcMar>
          </w:tcPr>
          <w:p>
            <w:r>
              <w:rPr>
                <w:rFonts w:ascii="Georgia" w:cs="Georgia" w:eastAsia="Georgia" w:hAnsi="Georgia"/>
                <w:b/>
                <w:bCs/>
                <w:color w:val="8B6914"/>
                <w:sz w:val="20"/>
                <w:szCs w:val="20"/>
              </w:rPr>
              <w:t xml:space="preserve">'101'</w:t>
            </w:r>
          </w:p>
        </w:tc>
        <w:tc>
          <w:tcPr>
            <w:tcW w:type="dxa" w:w="1560"/>
            <w:tcBorders>
              <w:top w:val="single" w:color="CCCCCC" w:sz="1"/>
              <w:left w:val="single" w:color="CCCCCC" w:sz="1"/>
              <w:bottom w:val="single" w:color="CCCCCC" w:sz="1"/>
              <w:right w:val="single" w:color="CCCCCC" w:sz="1"/>
            </w:tcBorders>
            <w:shd w:fill="FFF8E7" w:val="clear"/>
            <w:tcMar>
              <w:top w:type="dxa" w:w="80"/>
              <w:left w:type="dxa" w:w="120"/>
              <w:bottom w:type="dxa" w:w="80"/>
              <w:right w:type="dxa" w:w="120"/>
            </w:tcMar>
          </w:tcPr>
          <w:p>
            <w:r>
              <w:rPr>
                <w:rFonts w:ascii="Georgia" w:cs="Georgia" w:eastAsia="Georgia" w:hAnsi="Georgia"/>
                <w:b/>
                <w:bCs/>
                <w:color w:val="8B6914"/>
                <w:sz w:val="20"/>
                <w:szCs w:val="20"/>
              </w:rPr>
              <w:t xml:space="preserve">582 (56.8%)</w:t>
            </w:r>
          </w:p>
        </w:tc>
        <w:tc>
          <w:tcPr>
            <w:tcW w:type="dxa" w:w="1560"/>
            <w:tcBorders>
              <w:top w:val="single" w:color="CCCCCC" w:sz="1"/>
              <w:left w:val="single" w:color="CCCCCC" w:sz="1"/>
              <w:bottom w:val="single" w:color="CCCCCC" w:sz="1"/>
              <w:right w:val="single" w:color="CCCCCC" w:sz="1"/>
            </w:tcBorders>
            <w:shd w:fill="FFF8E7" w:val="clear"/>
            <w:tcMar>
              <w:top w:type="dxa" w:w="80"/>
              <w:left w:type="dxa" w:w="120"/>
              <w:bottom w:type="dxa" w:w="80"/>
              <w:right w:type="dxa" w:w="120"/>
            </w:tcMar>
          </w:tcPr>
          <w:p>
            <w:r>
              <w:rPr>
                <w:rFonts w:ascii="Georgia" w:cs="Georgia" w:eastAsia="Georgia" w:hAnsi="Georgia"/>
                <w:b/>
                <w:bCs/>
                <w:color w:val="8B6914"/>
                <w:sz w:val="20"/>
                <w:szCs w:val="20"/>
              </w:rPr>
              <w:t xml:space="preserve">~1.2</w:t>
            </w:r>
          </w:p>
        </w:tc>
        <w:tc>
          <w:tcPr>
            <w:tcW w:type="dxa" w:w="1560"/>
            <w:tcBorders>
              <w:top w:val="single" w:color="CCCCCC" w:sz="1"/>
              <w:left w:val="single" w:color="CCCCCC" w:sz="1"/>
              <w:bottom w:val="single" w:color="CCCCCC" w:sz="1"/>
              <w:right w:val="single" w:color="CCCCCC" w:sz="1"/>
            </w:tcBorders>
            <w:shd w:fill="FFF8E7" w:val="clear"/>
            <w:tcMar>
              <w:top w:type="dxa" w:w="80"/>
              <w:left w:type="dxa" w:w="120"/>
              <w:bottom w:type="dxa" w:w="80"/>
              <w:right w:type="dxa" w:w="120"/>
            </w:tcMar>
          </w:tcPr>
          <w:p>
            <w:r>
              <w:rPr>
                <w:rFonts w:ascii="Georgia" w:cs="Georgia" w:eastAsia="Georgia" w:hAnsi="Georgia"/>
                <w:b/>
                <w:bCs/>
                <w:color w:val="8B6914"/>
                <w:sz w:val="20"/>
                <w:szCs w:val="20"/>
              </w:rPr>
              <w:t xml:space="preserve">EXTREME ORDER</w:t>
            </w:r>
          </w:p>
        </w:tc>
      </w:tr>
    </w:tbl>
    <w:p>
      <w:pPr>
        <w:spacing w:after="120" w:before="120"/>
      </w:pPr>
      <w:r>
        <w:t xml:space="preserve"/>
      </w:r>
    </w:p>
    <w:p>
      <w:pPr>
        <w:spacing w:after="80" w:before="80" w:line="320"/>
      </w:pPr>
      <w:r>
        <w:rPr>
          <w:rFonts w:ascii="Georgia" w:cs="Georgia" w:eastAsia="Georgia" w:hAnsi="Georgia"/>
          <w:i/>
          <w:iCs/>
          <w:color w:val="8B6914"/>
          <w:sz w:val="22"/>
          <w:szCs w:val="22"/>
        </w:rPr>
        <w:t xml:space="preserve">★ Trial C result was predicted from the entropy sweep before execution. Prediction confirmed on real quantum hardware.</w:t>
      </w:r>
    </w:p>
    <w:p>
      <w:pPr>
        <w:spacing w:after="120" w:before="120"/>
      </w:pPr>
      <w:r>
        <w:t xml:space="preserve"/>
      </w:r>
    </w:p>
    <w:p>
      <w:pPr>
        <w:pStyle w:val="Heading1"/>
        <w:pBdr>
          <w:bottom w:val="single" w:color="1A6B9A" w:sz="4" w:space="4"/>
        </w:pBdr>
        <w:spacing w:after="120" w:before="360"/>
      </w:pPr>
      <w:r>
        <w:rPr>
          <w:rFonts w:ascii="Georgia" w:cs="Georgia" w:eastAsia="Georgia" w:hAnsi="Georgia"/>
          <w:b/>
          <w:bCs/>
          <w:color w:val="0A0A2A"/>
          <w:sz w:val="28"/>
          <w:szCs w:val="28"/>
        </w:rPr>
        <w:t xml:space="preserve">5. Discussion</w:t>
      </w:r>
    </w:p>
    <w:p>
      <w:pPr>
        <w:pStyle w:val="Heading2"/>
        <w:spacing w:after="80" w:before="240"/>
      </w:pPr>
      <w:r>
        <w:rPr>
          <w:rFonts w:ascii="Georgia" w:cs="Georgia" w:eastAsia="Georgia" w:hAnsi="Georgia"/>
          <w:b/>
          <w:bCs/>
          <w:color w:val="1A6B9A"/>
          <w:sz w:val="24"/>
          <w:szCs w:val="24"/>
        </w:rPr>
        <w:t xml:space="preserve">5.1 The Confirmed Prediction</w:t>
      </w:r>
    </w:p>
    <w:p>
      <w:pPr>
        <w:spacing w:after="80" w:before="80" w:line="320"/>
      </w:pPr>
      <w:r>
        <w:rPr>
          <w:rFonts w:ascii="Georgia" w:cs="Georgia" w:eastAsia="Georgia" w:hAnsi="Georgia"/>
          <w:sz w:val="22"/>
          <w:szCs w:val="22"/>
        </w:rPr>
        <w:t xml:space="preserve">The most significant result of this session is not any individual trial in isolation, but the successful prediction of Trial C from the entropy sweep. The sweep identified θ ≈ 0.898 rad as the onset of '101' ordering. Trial C’s angle of 0.8137 rad falls within this regime. The prediction — made explicitly before the circuit was submitted — was confirmed: '101' dominated with 56.8% probability mass.</w:t>
      </w:r>
    </w:p>
    <w:p>
      <w:pPr>
        <w:spacing w:after="80" w:before="80" w:line="320"/>
      </w:pPr>
      <w:r>
        <w:rPr>
          <w:rFonts w:ascii="Georgia" w:cs="Georgia" w:eastAsia="Georgia" w:hAnsi="Georgia"/>
          <w:sz w:val="22"/>
          <w:szCs w:val="22"/>
        </w:rPr>
        <w:t xml:space="preserve">This constitutes a genuine falsifiable prediction confirmed by hardware execution. It demonstrates that the entropy landscape of the circuit is real, reproducible, and geometrically structured — and that the inverted α condition selects a specific, highly ordered region of that landscape.</w:t>
      </w:r>
    </w:p>
    <w:p>
      <w:pPr>
        <w:pStyle w:val="Heading2"/>
        <w:spacing w:after="80" w:before="240"/>
      </w:pPr>
      <w:r>
        <w:rPr>
          <w:rFonts w:ascii="Georgia" w:cs="Georgia" w:eastAsia="Georgia" w:hAnsi="Georgia"/>
          <w:b/>
          <w:bCs/>
          <w:color w:val="1A6B9A"/>
          <w:sz w:val="24"/>
          <w:szCs w:val="24"/>
        </w:rPr>
        <w:t xml:space="preserve">5.2 Asymmetry of α Scaling</w:t>
      </w:r>
    </w:p>
    <w:p>
      <w:pPr>
        <w:spacing w:after="80" w:before="80" w:line="320"/>
      </w:pPr>
      <w:r>
        <w:rPr>
          <w:rFonts w:ascii="Georgia" w:cs="Georgia" w:eastAsia="Georgia" w:hAnsi="Georgia"/>
          <w:sz w:val="22"/>
          <w:szCs w:val="22"/>
        </w:rPr>
        <w:t xml:space="preserve">The α scaling and its inverse produce dramatically asymmetric results. Multiplying by α (~1/137) drives the system to maximum disorder. Dividing by α (~137×) selects an ordered regime with 56.8% concentration. This asymmetry is itself a finding: α does not simply shift the probability distribution — it places the encoding at a geometric boundary between ordered and disordered regimes in quantum circuit probability space.</w:t>
      </w:r>
    </w:p>
    <w:p>
      <w:pPr>
        <w:pStyle w:val="Heading2"/>
        <w:spacing w:after="80" w:before="240"/>
      </w:pPr>
      <w:r>
        <w:rPr>
          <w:rFonts w:ascii="Georgia" w:cs="Georgia" w:eastAsia="Georgia" w:hAnsi="Georgia"/>
          <w:b/>
          <w:bCs/>
          <w:color w:val="1A6B9A"/>
          <w:sz w:val="24"/>
          <w:szCs w:val="24"/>
        </w:rPr>
        <w:t xml:space="preserve">5.3 Implications for the O’Reilly Effect</w:t>
      </w:r>
    </w:p>
    <w:p>
      <w:pPr>
        <w:spacing w:after="80" w:before="80" w:line="320"/>
      </w:pPr>
      <w:r>
        <w:rPr>
          <w:rFonts w:ascii="Georgia" w:cs="Georgia" w:eastAsia="Georgia" w:hAnsi="Georgia"/>
          <w:sz w:val="22"/>
          <w:szCs w:val="22"/>
        </w:rPr>
        <w:t xml:space="preserve">The next experimental phase adds a fourth observer qubit, entangled with the system but not driven by the gravitational signal. The prediction is that observer coupling will measurably shift the entropy of the Trial C distribution — either increasing disorder (decoherence from observation) or, under the O’Reilly hypothesis, potentially increasing order (coherence amplification via conscious coupling). Either result is publishable.</w:t>
      </w:r>
    </w:p>
    <w:p>
      <w:pPr>
        <w:pStyle w:val="Heading2"/>
        <w:spacing w:after="80" w:before="240"/>
      </w:pPr>
      <w:r>
        <w:rPr>
          <w:rFonts w:ascii="Georgia" w:cs="Georgia" w:eastAsia="Georgia" w:hAnsi="Georgia"/>
          <w:b/>
          <w:bCs/>
          <w:color w:val="1A6B9A"/>
          <w:sz w:val="24"/>
          <w:szCs w:val="24"/>
        </w:rPr>
        <w:t xml:space="preserve">5.4 Path to LIGO Integration</w:t>
      </w:r>
    </w:p>
    <w:p>
      <w:pPr>
        <w:spacing w:after="80" w:before="80" w:line="320"/>
      </w:pPr>
      <w:r>
        <w:rPr>
          <w:rFonts w:ascii="Georgia" w:cs="Georgia" w:eastAsia="Georgia" w:hAnsi="Georgia"/>
          <w:sz w:val="22"/>
          <w:szCs w:val="22"/>
        </w:rPr>
        <w:t xml:space="preserve">The current experiments use representative fixed angles. The next phase integrates real GW150914 strain values via gwpy, normalizes them to [0, 2π], and maps each strain sample to its position on the entropy curve. If real gravitational wave data preferentially selects ordered regions of the circuit geometry, this would constitute strong evidence for quantum-gravity geometric correlation.</w:t>
      </w:r>
    </w:p>
    <w:p>
      <w:pPr>
        <w:spacing w:after="120" w:before="120"/>
      </w:pPr>
      <w:r>
        <w:t xml:space="preserve"/>
      </w:r>
    </w:p>
    <w:p>
      <w:pPr>
        <w:pStyle w:val="Heading1"/>
        <w:pBdr>
          <w:bottom w:val="single" w:color="1A6B9A" w:sz="4" w:space="4"/>
        </w:pBdr>
        <w:spacing w:after="120" w:before="360"/>
      </w:pPr>
      <w:r>
        <w:rPr>
          <w:rFonts w:ascii="Georgia" w:cs="Georgia" w:eastAsia="Georgia" w:hAnsi="Georgia"/>
          <w:b/>
          <w:bCs/>
          <w:color w:val="0A0A2A"/>
          <w:sz w:val="28"/>
          <w:szCs w:val="28"/>
        </w:rPr>
        <w:t xml:space="preserve">6. Next Steps</w:t>
      </w:r>
    </w:p>
    <w:p>
      <w:pPr>
        <w:pStyle w:val="ListParagraph"/>
        <w:numPr>
          <w:ilvl w:val="0"/>
          <w:numId w:val="2"/>
        </w:numPr>
        <w:spacing w:after="60" w:before="60" w:line="300"/>
      </w:pPr>
      <w:r>
        <w:rPr>
          <w:rFonts w:ascii="Georgia" w:cs="Georgia" w:eastAsia="Georgia" w:hAnsi="Georgia"/>
          <w:sz w:val="22"/>
          <w:szCs w:val="22"/>
        </w:rPr>
        <w:t xml:space="preserve">Install gwpy: pip3 install gwpy</w:t>
      </w:r>
    </w:p>
    <w:p>
      <w:pPr>
        <w:pStyle w:val="ListParagraph"/>
        <w:numPr>
          <w:ilvl w:val="0"/>
          <w:numId w:val="2"/>
        </w:numPr>
        <w:spacing w:after="60" w:before="60" w:line="300"/>
      </w:pPr>
      <w:r>
        <w:rPr>
          <w:rFonts w:ascii="Georgia" w:cs="Georgia" w:eastAsia="Georgia" w:hAnsi="Georgia"/>
          <w:sz w:val="22"/>
          <w:szCs w:val="22"/>
        </w:rPr>
        <w:t xml:space="preserve">Integrate real GW150914 LIGO strain data as encoding angles</w:t>
      </w:r>
    </w:p>
    <w:p>
      <w:pPr>
        <w:pStyle w:val="ListParagraph"/>
        <w:numPr>
          <w:ilvl w:val="0"/>
          <w:numId w:val="2"/>
        </w:numPr>
        <w:spacing w:after="60" w:before="60" w:line="300"/>
      </w:pPr>
      <w:r>
        <w:rPr>
          <w:rFonts w:ascii="Georgia" w:cs="Georgia" w:eastAsia="Georgia" w:hAnsi="Georgia"/>
          <w:sz w:val="22"/>
          <w:szCs w:val="22"/>
        </w:rPr>
        <w:t xml:space="preserve">Run O’Reilly observer qubit circuit (4-qubit design) on ibm_marrakesh</w:t>
      </w:r>
    </w:p>
    <w:p>
      <w:pPr>
        <w:pStyle w:val="ListParagraph"/>
        <w:numPr>
          <w:ilvl w:val="0"/>
          <w:numId w:val="2"/>
        </w:numPr>
        <w:spacing w:after="60" w:before="60" w:line="300"/>
      </w:pPr>
      <w:r>
        <w:rPr>
          <w:rFonts w:ascii="Georgia" w:cs="Georgia" w:eastAsia="Georgia" w:hAnsi="Georgia"/>
          <w:sz w:val="22"/>
          <w:szCs w:val="22"/>
        </w:rPr>
        <w:t xml:space="preserve">High-resolution sweep (32 points) around θ ≈ 0.81 and θ ≈ 4.49 rad</w:t>
      </w:r>
    </w:p>
    <w:p>
      <w:pPr>
        <w:pStyle w:val="ListParagraph"/>
        <w:numPr>
          <w:ilvl w:val="0"/>
          <w:numId w:val="2"/>
        </w:numPr>
        <w:spacing w:after="60" w:before="60" w:line="300"/>
      </w:pPr>
      <w:r>
        <w:rPr>
          <w:rFonts w:ascii="Georgia" w:cs="Georgia" w:eastAsia="Georgia" w:hAnsi="Georgia"/>
          <w:sz w:val="22"/>
          <w:szCs w:val="22"/>
        </w:rPr>
        <w:t xml:space="preserve">Compute paired t-tests and effect sizes across all conditions</w:t>
      </w:r>
    </w:p>
    <w:p>
      <w:pPr>
        <w:pStyle w:val="ListParagraph"/>
        <w:numPr>
          <w:ilvl w:val="0"/>
          <w:numId w:val="2"/>
        </w:numPr>
        <w:spacing w:after="60" w:before="60" w:line="300"/>
      </w:pPr>
      <w:r>
        <w:rPr>
          <w:rFonts w:ascii="Georgia" w:cs="Georgia" w:eastAsia="Georgia" w:hAnsi="Georgia"/>
          <w:sz w:val="22"/>
          <w:szCs w:val="22"/>
        </w:rPr>
        <w:t xml:space="preserve">Submit complete results as ZENODO preprint</w:t>
      </w:r>
    </w:p>
    <w:p>
      <w:pPr>
        <w:spacing w:after="120" w:before="120"/>
      </w:pPr>
      <w:r>
        <w:t xml:space="preserve"/>
      </w:r>
    </w:p>
    <w:p>
      <w:pPr>
        <w:pStyle w:val="Heading1"/>
        <w:pBdr>
          <w:bottom w:val="single" w:color="1A6B9A" w:sz="4" w:space="4"/>
        </w:pBdr>
        <w:spacing w:after="120" w:before="360"/>
      </w:pPr>
      <w:r>
        <w:rPr>
          <w:rFonts w:ascii="Georgia" w:cs="Georgia" w:eastAsia="Georgia" w:hAnsi="Georgia"/>
          <w:b/>
          <w:bCs/>
          <w:color w:val="0A0A2A"/>
          <w:sz w:val="28"/>
          <w:szCs w:val="28"/>
        </w:rPr>
        <w:t xml:space="preserve">7. Theoretical References</w:t>
      </w:r>
    </w:p>
    <w:p>
      <w:pPr>
        <w:pStyle w:val="ListParagraph"/>
        <w:numPr>
          <w:ilvl w:val="0"/>
          <w:numId w:val="2"/>
        </w:numPr>
        <w:spacing w:after="60" w:before="60" w:line="300"/>
      </w:pPr>
      <w:r>
        <w:rPr>
          <w:rFonts w:ascii="Georgia" w:cs="Georgia" w:eastAsia="Georgia" w:hAnsi="Georgia"/>
          <w:sz w:val="22"/>
          <w:szCs w:val="22"/>
        </w:rPr>
        <w:t xml:space="preserve">Penrose, R. &amp; Hameroff, S. (2014). Consciousness in the Universe: A Review of the Orch OR Theory.</w:t>
      </w:r>
    </w:p>
    <w:p>
      <w:pPr>
        <w:pStyle w:val="ListParagraph"/>
        <w:numPr>
          <w:ilvl w:val="0"/>
          <w:numId w:val="2"/>
        </w:numPr>
        <w:spacing w:after="60" w:before="60" w:line="300"/>
      </w:pPr>
      <w:r>
        <w:rPr>
          <w:rFonts w:ascii="Georgia" w:cs="Georgia" w:eastAsia="Georgia" w:hAnsi="Georgia"/>
          <w:sz w:val="22"/>
          <w:szCs w:val="22"/>
        </w:rPr>
        <w:t xml:space="preserve">Verlinde, E. (2011). On the Origin of Gravity and the Laws of Newton.</w:t>
      </w:r>
    </w:p>
    <w:p>
      <w:pPr>
        <w:pStyle w:val="ListParagraph"/>
        <w:numPr>
          <w:ilvl w:val="0"/>
          <w:numId w:val="2"/>
        </w:numPr>
        <w:spacing w:after="60" w:before="60" w:line="300"/>
      </w:pPr>
      <w:r>
        <w:rPr>
          <w:rFonts w:ascii="Georgia" w:cs="Georgia" w:eastAsia="Georgia" w:hAnsi="Georgia"/>
          <w:sz w:val="22"/>
          <w:szCs w:val="22"/>
        </w:rPr>
        <w:t xml:space="preserve">Maldacena, J. &amp; Susskind, L. (2013). Cool Horizons for Entangled Black Holes (ER=EPR).</w:t>
      </w:r>
    </w:p>
    <w:p>
      <w:pPr>
        <w:pStyle w:val="ListParagraph"/>
        <w:numPr>
          <w:ilvl w:val="0"/>
          <w:numId w:val="2"/>
        </w:numPr>
        <w:spacing w:after="60" w:before="60" w:line="300"/>
      </w:pPr>
      <w:r>
        <w:rPr>
          <w:rFonts w:ascii="Georgia" w:cs="Georgia" w:eastAsia="Georgia" w:hAnsi="Georgia"/>
          <w:sz w:val="22"/>
          <w:szCs w:val="22"/>
        </w:rPr>
        <w:t xml:space="preserve">Nottale, L. (1993). Fractal Space-Time and Microphysics: Towards a Theory of Scale Relativity.</w:t>
      </w:r>
    </w:p>
    <w:p>
      <w:pPr>
        <w:pStyle w:val="ListParagraph"/>
        <w:numPr>
          <w:ilvl w:val="0"/>
          <w:numId w:val="2"/>
        </w:numPr>
        <w:spacing w:after="60" w:before="60" w:line="300"/>
      </w:pPr>
      <w:r>
        <w:rPr>
          <w:rFonts w:ascii="Georgia" w:cs="Georgia" w:eastAsia="Georgia" w:hAnsi="Georgia"/>
          <w:sz w:val="22"/>
          <w:szCs w:val="22"/>
        </w:rPr>
        <w:t xml:space="preserve">Tononi, G. (2008). Consciousness as Integrated Information: A Provisional Manifesto.</w:t>
      </w:r>
    </w:p>
    <w:p>
      <w:pPr>
        <w:pStyle w:val="ListParagraph"/>
        <w:numPr>
          <w:ilvl w:val="0"/>
          <w:numId w:val="2"/>
        </w:numPr>
        <w:spacing w:after="60" w:before="60" w:line="300"/>
      </w:pPr>
      <w:r>
        <w:rPr>
          <w:rFonts w:ascii="Georgia" w:cs="Georgia" w:eastAsia="Georgia" w:hAnsi="Georgia"/>
          <w:sz w:val="22"/>
          <w:szCs w:val="22"/>
        </w:rPr>
        <w:t xml:space="preserve">LIGO Scientific Collaboration (2016). Observation of Gravitational Waves from a Binary Black Hole Merger.</w:t>
      </w:r>
    </w:p>
    <w:p>
      <w:pPr>
        <w:spacing w:after="120" w:before="120"/>
      </w:pPr>
      <w:r>
        <w:t xml:space="preserve"/>
      </w:r>
    </w:p>
    <w:p>
      <w:pPr>
        <w:pBdr>
          <w:top w:val="single" w:color="CCCCCC" w:sz="2" w:space="8"/>
        </w:pBdr>
        <w:spacing w:after="0" w:before="480"/>
        <w:jc w:val="center"/>
      </w:pPr>
      <w:r>
        <w:rPr>
          <w:rFonts w:ascii="Georgia" w:cs="Georgia" w:eastAsia="Georgia" w:hAnsi="Georgia"/>
          <w:i/>
          <w:iCs/>
          <w:color w:val="999999"/>
          <w:sz w:val="16"/>
          <w:szCs w:val="16"/>
        </w:rPr>
        <w:t xml:space="preserve">Preprint — Not Peer Reviewed | ZENODO | Colin O’Reilly | AI Collaborator: Google Gemini | June 2026</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360"/>
      <w:outlineLvl w:val="0"/>
    </w:pPr>
    <w:rPr>
      <w:rFonts w:ascii="Georgia" w:cs="Georgia" w:eastAsia="Georgia" w:hAnsi="Georgia"/>
      <w:b/>
      <w:bCs/>
      <w:color w:val="0A0A2A"/>
      <w:sz w:val="28"/>
      <w:szCs w:val="28"/>
    </w:rPr>
  </w:style>
  <w:style w:type="paragraph" w:styleId="Heading2">
    <w:name w:val="Heading 2"/>
    <w:basedOn w:val="Normal"/>
    <w:next w:val="Normal"/>
    <w:qFormat/>
    <w:pPr>
      <w:spacing w:after="80" w:before="240"/>
      <w:outlineLvl w:val="1"/>
    </w:pPr>
    <w:rPr>
      <w:rFonts w:ascii="Georgia" w:cs="Georgia" w:eastAsia="Georgia" w:hAnsi="Georgia"/>
      <w:b/>
      <w:bCs/>
      <w:color w:val="1A6B9A"/>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2026-06-03T07:42:10.900Z</dcterms:created>
  <dcterms:modified xsi:type="dcterms:W3CDTF">2026-06-03T07:42:10.913Z</dcterms:modified>
</cp:coreProperties>
</file>

<file path=docProps/custom.xml><?xml version="1.0" encoding="utf-8"?>
<Properties xmlns="http://schemas.openxmlformats.org/officeDocument/2006/custom-properties" xmlns:vt="http://schemas.openxmlformats.org/officeDocument/2006/docPropsVTypes"/>
</file>